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E15" w:rsidRDefault="00C45E15">
      <w:pPr>
        <w:pStyle w:val="TijeloA"/>
        <w:jc w:val="both"/>
      </w:pPr>
    </w:p>
    <w:p w:rsidR="00C45E15" w:rsidRDefault="00B46E3D">
      <w:pPr>
        <w:pStyle w:val="TijeloA"/>
        <w:jc w:val="both"/>
        <w:rPr>
          <w:rFonts w:ascii="Tahoma" w:eastAsia="Tahoma" w:hAnsi="Tahoma" w:cs="Tahoma"/>
          <w:b/>
          <w:bCs/>
          <w:sz w:val="20"/>
          <w:szCs w:val="20"/>
        </w:rPr>
      </w:pPr>
      <w:r>
        <w:rPr>
          <w:rFonts w:ascii="Tahoma" w:hAnsi="Tahoma"/>
          <w:b/>
          <w:bCs/>
          <w:sz w:val="20"/>
          <w:szCs w:val="20"/>
        </w:rPr>
        <w:t xml:space="preserve"> Čakovec, 21</w:t>
      </w:r>
      <w:r w:rsidR="00816261">
        <w:rPr>
          <w:rFonts w:ascii="Tahoma" w:hAnsi="Tahoma"/>
          <w:b/>
          <w:bCs/>
          <w:sz w:val="20"/>
          <w:szCs w:val="20"/>
        </w:rPr>
        <w:t>.0</w:t>
      </w:r>
      <w:r>
        <w:rPr>
          <w:rFonts w:ascii="Tahoma" w:hAnsi="Tahoma"/>
          <w:b/>
          <w:bCs/>
          <w:sz w:val="20"/>
          <w:szCs w:val="20"/>
        </w:rPr>
        <w:t>5</w:t>
      </w:r>
      <w:r w:rsidR="00214E10">
        <w:rPr>
          <w:rFonts w:ascii="Tahoma" w:hAnsi="Tahoma"/>
          <w:b/>
          <w:bCs/>
          <w:sz w:val="20"/>
          <w:szCs w:val="20"/>
        </w:rPr>
        <w:t>.201</w:t>
      </w:r>
      <w:r w:rsidR="00816261">
        <w:rPr>
          <w:rFonts w:ascii="Tahoma" w:hAnsi="Tahoma"/>
          <w:b/>
          <w:bCs/>
          <w:sz w:val="20"/>
          <w:szCs w:val="20"/>
        </w:rPr>
        <w:t>8</w:t>
      </w:r>
      <w:r w:rsidR="00214E10">
        <w:rPr>
          <w:rFonts w:ascii="Tahoma" w:hAnsi="Tahoma"/>
          <w:b/>
          <w:bCs/>
          <w:sz w:val="20"/>
          <w:szCs w:val="20"/>
        </w:rPr>
        <w:t>.</w:t>
      </w:r>
    </w:p>
    <w:p w:rsidR="00C45E15" w:rsidRDefault="00C45E15">
      <w:pPr>
        <w:pStyle w:val="TijeloA"/>
        <w:jc w:val="both"/>
        <w:rPr>
          <w:rFonts w:ascii="Tahoma" w:eastAsia="Tahoma" w:hAnsi="Tahoma" w:cs="Tahoma"/>
          <w:b/>
          <w:bCs/>
          <w:sz w:val="20"/>
          <w:szCs w:val="20"/>
        </w:rPr>
      </w:pPr>
    </w:p>
    <w:p w:rsidR="00C45E15" w:rsidRDefault="00214E10">
      <w:pPr>
        <w:pStyle w:val="TijeloA"/>
        <w:jc w:val="both"/>
        <w:rPr>
          <w:rFonts w:ascii="Tahoma" w:eastAsia="Tahoma" w:hAnsi="Tahoma" w:cs="Tahoma"/>
          <w:sz w:val="20"/>
          <w:szCs w:val="20"/>
        </w:rPr>
      </w:pPr>
      <w:r>
        <w:rPr>
          <w:rFonts w:ascii="Tahoma" w:hAnsi="Tahoma"/>
          <w:b/>
          <w:bCs/>
          <w:sz w:val="20"/>
          <w:szCs w:val="20"/>
        </w:rPr>
        <w:t>Nadležni trgovački sud</w:t>
      </w:r>
      <w:r>
        <w:rPr>
          <w:rFonts w:ascii="Tahoma" w:hAnsi="Tahoma"/>
          <w:sz w:val="20"/>
          <w:szCs w:val="20"/>
        </w:rPr>
        <w:t>: Trgovački sud u Varaždinu</w:t>
      </w:r>
    </w:p>
    <w:p w:rsidR="00C45E15" w:rsidRDefault="00214E10">
      <w:pPr>
        <w:pStyle w:val="TijeloA"/>
        <w:jc w:val="both"/>
        <w:rPr>
          <w:rFonts w:ascii="Tahoma" w:eastAsia="Tahoma" w:hAnsi="Tahoma" w:cs="Tahoma"/>
          <w:sz w:val="20"/>
          <w:szCs w:val="20"/>
        </w:rPr>
      </w:pPr>
      <w:r>
        <w:rPr>
          <w:rFonts w:ascii="Tahoma" w:hAnsi="Tahoma"/>
          <w:b/>
          <w:bCs/>
          <w:sz w:val="20"/>
          <w:szCs w:val="20"/>
        </w:rPr>
        <w:t>Poslovni broj spisa</w:t>
      </w:r>
      <w:r>
        <w:rPr>
          <w:rFonts w:ascii="Tahoma" w:hAnsi="Tahoma"/>
          <w:sz w:val="20"/>
          <w:szCs w:val="20"/>
        </w:rPr>
        <w:t>:</w:t>
      </w:r>
      <w:r>
        <w:rPr>
          <w:rFonts w:ascii="Tahoma" w:hAnsi="Tahoma"/>
          <w:sz w:val="20"/>
          <w:szCs w:val="20"/>
        </w:rPr>
        <w:tab/>
        <w:t>St-105/2015</w:t>
      </w:r>
    </w:p>
    <w:p w:rsidR="00C45E15" w:rsidRDefault="00214E10">
      <w:pPr>
        <w:pStyle w:val="TijeloA"/>
        <w:rPr>
          <w:rFonts w:ascii="Tahoma" w:eastAsia="Tahoma" w:hAnsi="Tahoma" w:cs="Tahoma"/>
          <w:sz w:val="20"/>
          <w:szCs w:val="20"/>
        </w:rPr>
      </w:pPr>
      <w:r>
        <w:rPr>
          <w:rFonts w:ascii="Tahoma" w:hAnsi="Tahoma"/>
          <w:b/>
          <w:bCs/>
          <w:sz w:val="20"/>
          <w:szCs w:val="20"/>
        </w:rPr>
        <w:t xml:space="preserve">Dužnik: </w:t>
      </w:r>
      <w:r>
        <w:rPr>
          <w:rFonts w:ascii="Tahoma" w:hAnsi="Tahoma"/>
          <w:b/>
          <w:bCs/>
          <w:sz w:val="20"/>
          <w:szCs w:val="20"/>
        </w:rPr>
        <w:tab/>
      </w:r>
      <w:r>
        <w:rPr>
          <w:rFonts w:ascii="Tahoma" w:hAnsi="Tahoma"/>
          <w:b/>
          <w:bCs/>
          <w:sz w:val="20"/>
          <w:szCs w:val="20"/>
        </w:rPr>
        <w:tab/>
      </w:r>
      <w:r>
        <w:rPr>
          <w:rFonts w:ascii="Tahoma" w:hAnsi="Tahoma"/>
          <w:sz w:val="20"/>
          <w:szCs w:val="20"/>
        </w:rPr>
        <w:t xml:space="preserve">TIHOMIR KOKOLEK, </w:t>
      </w:r>
      <w:proofErr w:type="spellStart"/>
      <w:r>
        <w:rPr>
          <w:rFonts w:ascii="Tahoma" w:hAnsi="Tahoma"/>
          <w:sz w:val="20"/>
          <w:szCs w:val="20"/>
        </w:rPr>
        <w:t>vl</w:t>
      </w:r>
      <w:proofErr w:type="spellEnd"/>
      <w:r>
        <w:rPr>
          <w:rFonts w:ascii="Tahoma" w:hAnsi="Tahoma"/>
          <w:sz w:val="20"/>
          <w:szCs w:val="20"/>
        </w:rPr>
        <w:t>. putničke agencije EXPRESS-TOURS</w:t>
      </w:r>
    </w:p>
    <w:p w:rsidR="00C45E15" w:rsidRDefault="00214E10">
      <w:pPr>
        <w:pStyle w:val="TijeloA"/>
        <w:ind w:left="1416" w:firstLine="708"/>
        <w:rPr>
          <w:rFonts w:ascii="Tahoma" w:eastAsia="Tahoma" w:hAnsi="Tahoma" w:cs="Tahoma"/>
          <w:sz w:val="20"/>
          <w:szCs w:val="20"/>
        </w:rPr>
      </w:pPr>
      <w:r>
        <w:rPr>
          <w:rFonts w:ascii="Tahoma" w:hAnsi="Tahoma"/>
          <w:sz w:val="20"/>
          <w:szCs w:val="20"/>
        </w:rPr>
        <w:t>Zagrebačka 87, 40 000 Čakovec</w:t>
      </w:r>
    </w:p>
    <w:p w:rsidR="00C45E15" w:rsidRDefault="00214E10">
      <w:pPr>
        <w:pStyle w:val="TijeloA"/>
        <w:ind w:left="1416" w:firstLine="708"/>
        <w:rPr>
          <w:rFonts w:ascii="Tahoma" w:eastAsia="Tahoma" w:hAnsi="Tahoma" w:cs="Tahoma"/>
          <w:sz w:val="20"/>
          <w:szCs w:val="20"/>
        </w:rPr>
      </w:pPr>
      <w:r>
        <w:rPr>
          <w:rFonts w:ascii="Tahoma" w:hAnsi="Tahoma"/>
          <w:sz w:val="20"/>
          <w:szCs w:val="20"/>
        </w:rPr>
        <w:t>OIB: 92415294899</w:t>
      </w:r>
    </w:p>
    <w:p w:rsidR="00C45E15" w:rsidRDefault="00C45E15">
      <w:pPr>
        <w:pStyle w:val="TijeloA"/>
        <w:rPr>
          <w:rFonts w:ascii="Tahoma" w:eastAsia="Tahoma" w:hAnsi="Tahoma" w:cs="Tahoma"/>
          <w:sz w:val="20"/>
          <w:szCs w:val="20"/>
        </w:rPr>
      </w:pPr>
    </w:p>
    <w:p w:rsidR="00C45E15" w:rsidRDefault="00214E10">
      <w:pPr>
        <w:pStyle w:val="TijeloA"/>
        <w:spacing w:after="0" w:line="288" w:lineRule="auto"/>
        <w:ind w:left="4956" w:firstLine="708"/>
        <w:jc w:val="both"/>
        <w:rPr>
          <w:rFonts w:ascii="Tahoma" w:eastAsia="Tahoma" w:hAnsi="Tahoma" w:cs="Tahoma"/>
          <w:b/>
          <w:bCs/>
          <w:sz w:val="20"/>
          <w:szCs w:val="20"/>
        </w:rPr>
      </w:pPr>
      <w:r>
        <w:rPr>
          <w:rFonts w:ascii="Tahoma" w:hAnsi="Tahoma"/>
          <w:b/>
          <w:bCs/>
          <w:sz w:val="20"/>
          <w:szCs w:val="20"/>
          <w:lang w:val="nl-NL"/>
        </w:rPr>
        <w:t>TRGOVA</w:t>
      </w:r>
      <w:r>
        <w:rPr>
          <w:rFonts w:ascii="Tahoma" w:hAnsi="Tahoma"/>
          <w:b/>
          <w:bCs/>
          <w:sz w:val="20"/>
          <w:szCs w:val="20"/>
        </w:rPr>
        <w:t>ČKI SUD U VARAŽ</w:t>
      </w:r>
      <w:r>
        <w:rPr>
          <w:rFonts w:ascii="Tahoma" w:hAnsi="Tahoma"/>
          <w:b/>
          <w:bCs/>
          <w:sz w:val="20"/>
          <w:szCs w:val="20"/>
          <w:lang w:val="de-DE"/>
        </w:rPr>
        <w:t>DINU</w:t>
      </w:r>
    </w:p>
    <w:p w:rsidR="00C45E15" w:rsidRDefault="00214E10">
      <w:pPr>
        <w:pStyle w:val="TijeloA"/>
        <w:spacing w:after="0" w:line="288" w:lineRule="auto"/>
        <w:ind w:left="4956" w:firstLine="708"/>
        <w:jc w:val="both"/>
        <w:rPr>
          <w:rFonts w:ascii="Tahoma" w:eastAsia="Tahoma" w:hAnsi="Tahoma" w:cs="Tahoma"/>
          <w:b/>
          <w:bCs/>
          <w:sz w:val="20"/>
          <w:szCs w:val="20"/>
        </w:rPr>
      </w:pPr>
      <w:r>
        <w:rPr>
          <w:rFonts w:ascii="Tahoma" w:hAnsi="Tahoma"/>
          <w:b/>
          <w:bCs/>
          <w:sz w:val="20"/>
          <w:szCs w:val="20"/>
        </w:rPr>
        <w:t>St-105/2015</w:t>
      </w:r>
    </w:p>
    <w:p w:rsidR="00C45E15" w:rsidRDefault="00C45E15">
      <w:pPr>
        <w:pStyle w:val="TijeloA"/>
        <w:spacing w:after="0" w:line="288" w:lineRule="auto"/>
        <w:ind w:left="4956" w:firstLine="708"/>
        <w:jc w:val="both"/>
        <w:rPr>
          <w:rFonts w:ascii="Tahoma" w:eastAsia="Tahoma" w:hAnsi="Tahoma" w:cs="Tahoma"/>
          <w:b/>
          <w:bCs/>
          <w:sz w:val="20"/>
          <w:szCs w:val="20"/>
        </w:rPr>
      </w:pPr>
    </w:p>
    <w:p w:rsidR="00C45E15" w:rsidRDefault="00214E10">
      <w:pPr>
        <w:pStyle w:val="TijeloA"/>
        <w:spacing w:after="0" w:line="288" w:lineRule="auto"/>
        <w:ind w:left="5664"/>
        <w:rPr>
          <w:rFonts w:ascii="Tahoma" w:eastAsia="Tahoma" w:hAnsi="Tahoma" w:cs="Tahoma"/>
          <w:b/>
          <w:bCs/>
          <w:sz w:val="20"/>
          <w:szCs w:val="20"/>
        </w:rPr>
      </w:pPr>
      <w:r>
        <w:rPr>
          <w:rFonts w:ascii="Tahoma" w:hAnsi="Tahoma"/>
          <w:b/>
          <w:bCs/>
          <w:sz w:val="20"/>
          <w:szCs w:val="20"/>
        </w:rPr>
        <w:t>ŽUPANIJSKO DRŽAVNO ODVJETNIŠVO U VARAŽ</w:t>
      </w:r>
      <w:r>
        <w:rPr>
          <w:rFonts w:ascii="Tahoma" w:hAnsi="Tahoma"/>
          <w:b/>
          <w:bCs/>
          <w:sz w:val="20"/>
          <w:szCs w:val="20"/>
          <w:lang w:val="de-DE"/>
        </w:rPr>
        <w:t>DINU</w:t>
      </w:r>
    </w:p>
    <w:p w:rsidR="00C45E15" w:rsidRDefault="00C45E15">
      <w:pPr>
        <w:pStyle w:val="TijeloA"/>
        <w:jc w:val="both"/>
        <w:rPr>
          <w:rFonts w:ascii="Tahoma" w:eastAsia="Tahoma" w:hAnsi="Tahoma" w:cs="Tahoma"/>
          <w:sz w:val="20"/>
          <w:szCs w:val="20"/>
        </w:rPr>
      </w:pPr>
    </w:p>
    <w:p w:rsidR="00C45E15" w:rsidRDefault="00C45E15">
      <w:pPr>
        <w:pStyle w:val="TijeloA"/>
        <w:ind w:left="1416" w:firstLine="708"/>
        <w:rPr>
          <w:rFonts w:ascii="Tahoma" w:eastAsia="Tahoma" w:hAnsi="Tahoma" w:cs="Tahoma"/>
          <w:sz w:val="20"/>
          <w:szCs w:val="20"/>
        </w:rPr>
      </w:pPr>
    </w:p>
    <w:p w:rsidR="00C45E15" w:rsidRDefault="00214E10">
      <w:pPr>
        <w:pStyle w:val="TijeloA"/>
        <w:jc w:val="center"/>
        <w:rPr>
          <w:rFonts w:ascii="Tahoma" w:eastAsia="Tahoma" w:hAnsi="Tahoma" w:cs="Tahoma"/>
          <w:b/>
          <w:bCs/>
          <w:sz w:val="20"/>
          <w:szCs w:val="20"/>
        </w:rPr>
      </w:pPr>
      <w:r>
        <w:rPr>
          <w:rFonts w:ascii="Tahoma" w:hAnsi="Tahoma"/>
          <w:b/>
          <w:bCs/>
          <w:sz w:val="20"/>
          <w:szCs w:val="20"/>
        </w:rPr>
        <w:t>IZVJEŠĆ</w:t>
      </w:r>
      <w:r>
        <w:rPr>
          <w:rFonts w:ascii="Tahoma" w:hAnsi="Tahoma"/>
          <w:b/>
          <w:bCs/>
          <w:sz w:val="20"/>
          <w:szCs w:val="20"/>
          <w:lang w:val="de-DE"/>
        </w:rPr>
        <w:t>E STE</w:t>
      </w:r>
      <w:r>
        <w:rPr>
          <w:rFonts w:ascii="Tahoma" w:hAnsi="Tahoma"/>
          <w:b/>
          <w:bCs/>
          <w:sz w:val="20"/>
          <w:szCs w:val="20"/>
        </w:rPr>
        <w:t>Č</w:t>
      </w:r>
      <w:r>
        <w:rPr>
          <w:rFonts w:ascii="Tahoma" w:hAnsi="Tahoma"/>
          <w:b/>
          <w:bCs/>
          <w:sz w:val="20"/>
          <w:szCs w:val="20"/>
          <w:lang w:val="de-DE"/>
        </w:rPr>
        <w:t>AJNOGA UPRAVITELJA O TIJEKU STE</w:t>
      </w:r>
      <w:r>
        <w:rPr>
          <w:rFonts w:ascii="Tahoma" w:hAnsi="Tahoma"/>
          <w:b/>
          <w:bCs/>
          <w:sz w:val="20"/>
          <w:szCs w:val="20"/>
        </w:rPr>
        <w:t>ČAJNOGA POSTUPKA</w:t>
      </w:r>
    </w:p>
    <w:p w:rsidR="00C45E15" w:rsidRDefault="00214E10">
      <w:pPr>
        <w:pStyle w:val="TijeloA"/>
        <w:jc w:val="center"/>
        <w:rPr>
          <w:rFonts w:ascii="Tahoma" w:eastAsia="Tahoma" w:hAnsi="Tahoma" w:cs="Tahoma"/>
          <w:b/>
          <w:bCs/>
          <w:sz w:val="20"/>
          <w:szCs w:val="20"/>
        </w:rPr>
      </w:pPr>
      <w:r>
        <w:rPr>
          <w:rFonts w:ascii="Tahoma" w:hAnsi="Tahoma"/>
          <w:b/>
          <w:bCs/>
          <w:sz w:val="20"/>
          <w:szCs w:val="20"/>
          <w:lang w:val="de-DE"/>
        </w:rPr>
        <w:t xml:space="preserve"> I STANJU STE</w:t>
      </w:r>
      <w:r>
        <w:rPr>
          <w:rFonts w:ascii="Tahoma" w:hAnsi="Tahoma"/>
          <w:b/>
          <w:bCs/>
          <w:sz w:val="20"/>
          <w:szCs w:val="20"/>
        </w:rPr>
        <w:t>Č</w:t>
      </w:r>
      <w:r>
        <w:rPr>
          <w:rFonts w:ascii="Tahoma" w:hAnsi="Tahoma"/>
          <w:b/>
          <w:bCs/>
          <w:sz w:val="20"/>
          <w:szCs w:val="20"/>
          <w:lang w:val="de-DE"/>
        </w:rPr>
        <w:t>AJNE MASE</w:t>
      </w:r>
    </w:p>
    <w:p w:rsidR="00C45E15" w:rsidRPr="00FD6A32" w:rsidRDefault="00214E10">
      <w:pPr>
        <w:pStyle w:val="TijeloA"/>
        <w:jc w:val="center"/>
        <w:rPr>
          <w:rFonts w:ascii="Tahoma" w:eastAsia="Tahoma" w:hAnsi="Tahoma" w:cs="Tahoma"/>
          <w:sz w:val="16"/>
          <w:szCs w:val="16"/>
        </w:rPr>
      </w:pPr>
      <w:r w:rsidRPr="00FD6A32">
        <w:rPr>
          <w:rFonts w:ascii="Tahoma" w:hAnsi="Tahoma"/>
          <w:b/>
          <w:bCs/>
          <w:sz w:val="16"/>
          <w:szCs w:val="16"/>
          <w:lang w:val="de-DE"/>
        </w:rPr>
        <w:t>(O-20)</w:t>
      </w:r>
    </w:p>
    <w:p w:rsidR="00C45E15" w:rsidRDefault="00C45E15">
      <w:pPr>
        <w:pStyle w:val="TijeloA"/>
        <w:jc w:val="both"/>
        <w:rPr>
          <w:rFonts w:ascii="Tahoma" w:eastAsia="Tahoma" w:hAnsi="Tahoma" w:cs="Tahoma"/>
          <w:sz w:val="20"/>
          <w:szCs w:val="20"/>
        </w:rPr>
      </w:pPr>
    </w:p>
    <w:p w:rsidR="00C45E15" w:rsidRDefault="00214E10">
      <w:pPr>
        <w:pStyle w:val="TijeloA"/>
        <w:rPr>
          <w:rFonts w:ascii="Tahoma" w:eastAsia="Tahoma" w:hAnsi="Tahoma" w:cs="Tahoma"/>
          <w:b/>
          <w:bCs/>
          <w:sz w:val="20"/>
          <w:szCs w:val="20"/>
          <w:u w:val="single"/>
        </w:rPr>
      </w:pPr>
      <w:r>
        <w:rPr>
          <w:rFonts w:ascii="Tahoma" w:hAnsi="Tahoma"/>
          <w:b/>
          <w:bCs/>
          <w:sz w:val="20"/>
          <w:szCs w:val="20"/>
          <w:u w:val="single"/>
        </w:rPr>
        <w:t>I.  Tijek stečajnoga postupka u r</w:t>
      </w:r>
      <w:r w:rsidR="00B46E3D">
        <w:rPr>
          <w:rFonts w:ascii="Tahoma" w:hAnsi="Tahoma"/>
          <w:b/>
          <w:bCs/>
          <w:sz w:val="20"/>
          <w:szCs w:val="20"/>
          <w:u w:val="single"/>
        </w:rPr>
        <w:t>azdoblju od 23.12.2015. do 21</w:t>
      </w:r>
      <w:r w:rsidR="00816261">
        <w:rPr>
          <w:rFonts w:ascii="Tahoma" w:hAnsi="Tahoma"/>
          <w:b/>
          <w:bCs/>
          <w:sz w:val="20"/>
          <w:szCs w:val="20"/>
          <w:u w:val="single"/>
        </w:rPr>
        <w:t>.0</w:t>
      </w:r>
      <w:r w:rsidR="00B46E3D">
        <w:rPr>
          <w:rFonts w:ascii="Tahoma" w:hAnsi="Tahoma"/>
          <w:b/>
          <w:bCs/>
          <w:sz w:val="20"/>
          <w:szCs w:val="20"/>
          <w:u w:val="single"/>
        </w:rPr>
        <w:t>5</w:t>
      </w:r>
      <w:r>
        <w:rPr>
          <w:rFonts w:ascii="Tahoma" w:hAnsi="Tahoma"/>
          <w:b/>
          <w:bCs/>
          <w:sz w:val="20"/>
          <w:szCs w:val="20"/>
          <w:u w:val="single"/>
        </w:rPr>
        <w:t>.201</w:t>
      </w:r>
      <w:r w:rsidR="00816261">
        <w:rPr>
          <w:rFonts w:ascii="Tahoma" w:hAnsi="Tahoma"/>
          <w:b/>
          <w:bCs/>
          <w:sz w:val="20"/>
          <w:szCs w:val="20"/>
          <w:u w:val="single"/>
        </w:rPr>
        <w:t>8</w:t>
      </w:r>
      <w:r>
        <w:rPr>
          <w:rFonts w:ascii="Tahoma" w:hAnsi="Tahoma"/>
          <w:b/>
          <w:bCs/>
          <w:sz w:val="20"/>
          <w:szCs w:val="20"/>
          <w:u w:val="single"/>
        </w:rPr>
        <w:t>. godine</w:t>
      </w:r>
    </w:p>
    <w:p w:rsidR="00C45E15" w:rsidRDefault="00C45E15">
      <w:pPr>
        <w:pStyle w:val="TijeloA"/>
        <w:ind w:left="708" w:firstLine="708"/>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Rješenjem Trgovačkog suda u Varaždinu, dana 23. prosinca 2015. godine otvoren je stečajni postupak nad dužnikom TIHOMIR KOKOLEK, </w:t>
      </w:r>
      <w:proofErr w:type="spellStart"/>
      <w:r>
        <w:rPr>
          <w:rFonts w:ascii="Tahoma" w:hAnsi="Tahoma"/>
          <w:sz w:val="20"/>
          <w:szCs w:val="20"/>
        </w:rPr>
        <w:t>vl</w:t>
      </w:r>
      <w:proofErr w:type="spellEnd"/>
      <w:r>
        <w:rPr>
          <w:rFonts w:ascii="Tahoma" w:hAnsi="Tahoma"/>
          <w:sz w:val="20"/>
          <w:szCs w:val="20"/>
        </w:rPr>
        <w:t xml:space="preserve">. putničke agencije EXPRESS-TOURS, Zagrebačka 87, 40 000 Čakovec, OIB: 92415294899, te sam imenovana stečajnim upraviteljem. </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U ovom stečajnom postupku održano je I. ispitno i izvještajno ročište dana 15.02.2016. godine na kojem su ročištu ispitane tražbine stečajnih vjerovnika u iznosu od 635.933,56 kn, te je sastavljen pregled stečajne mase sukladno čl. 150. SZ-a  sa iskazanim stanjem imovine u iznosu od iznosu od 713.671,00 kn. Također je zbog naknadno pristiglih 10 tražbina, sačinjena tablica naknadno prijavljenih tražbina, te je sazvano posebno ispitno ročište za dan 19.01.2017.g. Sredstvima dobivenih od Agencije za osiguranje radničkih potraživanja u slučaju stečaja poslodavca u iznosu od 32.529,87 kn izvršeno je namirenje vjerovnika I. Višeg isplatnog reda, a čime je Agencija postala vjerovnik I. Višeg isplatnog reda i  uvrštena je u tablicu ispitanih tražbina sa navedenim iznosom. </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Posljednje izvješće o tijeku stečajnog postupka i stanju stečajne mase obuhvatilo je razdoblje od dana ot</w:t>
      </w:r>
      <w:r w:rsidR="00816261">
        <w:rPr>
          <w:rFonts w:ascii="Tahoma" w:hAnsi="Tahoma"/>
          <w:sz w:val="20"/>
          <w:szCs w:val="20"/>
        </w:rPr>
        <w:t>varanja stečajnog postupka do 20.</w:t>
      </w:r>
      <w:r w:rsidR="00B46E3D">
        <w:rPr>
          <w:rFonts w:ascii="Tahoma" w:hAnsi="Tahoma"/>
          <w:sz w:val="20"/>
          <w:szCs w:val="20"/>
        </w:rPr>
        <w:t>02</w:t>
      </w:r>
      <w:r>
        <w:rPr>
          <w:rFonts w:ascii="Tahoma" w:hAnsi="Tahoma"/>
          <w:sz w:val="20"/>
          <w:szCs w:val="20"/>
        </w:rPr>
        <w:t>.201</w:t>
      </w:r>
      <w:r w:rsidR="00B46E3D">
        <w:rPr>
          <w:rFonts w:ascii="Tahoma" w:hAnsi="Tahoma"/>
          <w:sz w:val="20"/>
          <w:szCs w:val="20"/>
        </w:rPr>
        <w:t>8</w:t>
      </w:r>
      <w:r>
        <w:rPr>
          <w:rFonts w:ascii="Tahoma" w:hAnsi="Tahoma"/>
          <w:sz w:val="20"/>
          <w:szCs w:val="20"/>
        </w:rPr>
        <w:t xml:space="preserve">. godine. </w:t>
      </w:r>
    </w:p>
    <w:p w:rsidR="00C45E15" w:rsidRDefault="00C45E15">
      <w:pPr>
        <w:pStyle w:val="TijeloA"/>
        <w:spacing w:after="0" w:line="288" w:lineRule="auto"/>
        <w:jc w:val="both"/>
        <w:rPr>
          <w:rFonts w:ascii="Tahoma" w:eastAsia="Tahoma" w:hAnsi="Tahoma" w:cs="Tahoma"/>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C45E15" w:rsidRDefault="00C45E15">
      <w:pPr>
        <w:pStyle w:val="TijeloA"/>
        <w:spacing w:after="0" w:line="288" w:lineRule="auto"/>
        <w:jc w:val="both"/>
        <w:rPr>
          <w:rFonts w:ascii="Tahoma" w:eastAsia="Tahoma" w:hAnsi="Tahoma" w:cs="Tahoma"/>
          <w:b/>
          <w:bCs/>
          <w:sz w:val="20"/>
          <w:szCs w:val="20"/>
        </w:rPr>
      </w:pPr>
    </w:p>
    <w:p w:rsidR="004253C9" w:rsidRDefault="004253C9">
      <w:pPr>
        <w:pStyle w:val="TijeloA"/>
        <w:spacing w:after="0" w:line="288" w:lineRule="auto"/>
        <w:jc w:val="both"/>
        <w:rPr>
          <w:rFonts w:ascii="Tahoma" w:eastAsia="Tahoma" w:hAnsi="Tahoma" w:cs="Tahoma"/>
          <w:b/>
          <w:bCs/>
          <w:sz w:val="20"/>
          <w:szCs w:val="20"/>
        </w:rPr>
      </w:pPr>
    </w:p>
    <w:p w:rsidR="00C45E15" w:rsidRDefault="00214E10">
      <w:pPr>
        <w:pStyle w:val="TijeloA"/>
        <w:rPr>
          <w:rFonts w:ascii="Tahoma" w:eastAsia="Tahoma" w:hAnsi="Tahoma" w:cs="Tahoma"/>
          <w:b/>
          <w:bCs/>
          <w:sz w:val="20"/>
          <w:szCs w:val="20"/>
          <w:u w:val="single"/>
        </w:rPr>
      </w:pPr>
      <w:r>
        <w:rPr>
          <w:rFonts w:ascii="Tahoma" w:hAnsi="Tahoma"/>
          <w:b/>
          <w:bCs/>
          <w:sz w:val="20"/>
          <w:szCs w:val="20"/>
          <w:u w:val="single"/>
        </w:rPr>
        <w:t>II. Stanje stečajne mase</w:t>
      </w:r>
    </w:p>
    <w:p w:rsidR="00C45E15" w:rsidRDefault="00C45E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Kako je utvrđeno danom otvaranja stečajnog postupka, stečajna masa sastoji se od pokretnina, nekretnine i potraživanja, uz napomenu da je tijekom stečajnog postupka izvršena inventura i izrađen  popis pokretnina koje su se nalazile u nekretnini te je angažiran je sudski vještak i izrađena je procjena.</w:t>
      </w: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  </w:t>
      </w:r>
    </w:p>
    <w:p w:rsidR="00C45E15" w:rsidRPr="004253C9" w:rsidRDefault="00214E10">
      <w:pPr>
        <w:pStyle w:val="TijeloA"/>
        <w:spacing w:after="0" w:line="288" w:lineRule="auto"/>
        <w:jc w:val="both"/>
        <w:rPr>
          <w:rFonts w:ascii="Tahoma" w:hAnsi="Tahoma" w:cs="Tahoma"/>
          <w:b/>
          <w:bCs/>
          <w:sz w:val="20"/>
          <w:szCs w:val="20"/>
          <w:u w:val="single"/>
        </w:rPr>
      </w:pPr>
      <w:r w:rsidRPr="004253C9">
        <w:rPr>
          <w:rFonts w:ascii="Tahoma" w:hAnsi="Tahoma" w:cs="Tahoma"/>
          <w:b/>
          <w:bCs/>
          <w:sz w:val="20"/>
          <w:szCs w:val="20"/>
          <w:u w:val="single"/>
        </w:rPr>
        <w:t xml:space="preserve">Pokretnine </w:t>
      </w:r>
    </w:p>
    <w:p w:rsidR="00B46E3D" w:rsidRDefault="00214E10">
      <w:pPr>
        <w:pStyle w:val="TijeloA"/>
        <w:spacing w:after="0" w:line="288" w:lineRule="auto"/>
        <w:jc w:val="both"/>
        <w:rPr>
          <w:rFonts w:ascii="Tahoma" w:hAnsi="Tahoma" w:cs="Tahoma"/>
          <w:sz w:val="20"/>
          <w:szCs w:val="20"/>
        </w:rPr>
      </w:pPr>
      <w:r w:rsidRPr="004253C9">
        <w:rPr>
          <w:rFonts w:ascii="Tahoma" w:hAnsi="Tahoma" w:cs="Tahoma"/>
          <w:sz w:val="20"/>
          <w:szCs w:val="20"/>
        </w:rPr>
        <w:t xml:space="preserve">Pokretnine se sastoje od pokretnina zatečenih u iznajmljenom prostoru, pokretnina koje su djelomično preuzete od bivše supruge stečajnog dužnika te pokretnina koje se nalaze u nekretnini stečajnog dužnika  u kući u Ludbregu. Prodaja navedenih </w:t>
      </w:r>
      <w:r w:rsidR="00EE3815">
        <w:rPr>
          <w:rFonts w:ascii="Tahoma" w:hAnsi="Tahoma" w:cs="Tahoma"/>
          <w:sz w:val="20"/>
          <w:szCs w:val="20"/>
        </w:rPr>
        <w:t>pokretnina redovito</w:t>
      </w:r>
      <w:r w:rsidRPr="004253C9">
        <w:rPr>
          <w:rFonts w:ascii="Tahoma" w:hAnsi="Tahoma" w:cs="Tahoma"/>
          <w:sz w:val="20"/>
          <w:szCs w:val="20"/>
        </w:rPr>
        <w:t xml:space="preserve"> se oglašava</w:t>
      </w:r>
      <w:r w:rsidR="00255034">
        <w:rPr>
          <w:rFonts w:ascii="Tahoma" w:hAnsi="Tahoma" w:cs="Tahoma"/>
          <w:sz w:val="20"/>
          <w:szCs w:val="20"/>
        </w:rPr>
        <w:t>la</w:t>
      </w:r>
      <w:r w:rsidRPr="004253C9">
        <w:rPr>
          <w:rFonts w:ascii="Tahoma" w:hAnsi="Tahoma" w:cs="Tahoma"/>
          <w:sz w:val="20"/>
          <w:szCs w:val="20"/>
        </w:rPr>
        <w:t xml:space="preserve"> na web stranici sudačka mreža time da se za svak</w:t>
      </w:r>
      <w:r w:rsidR="00255034">
        <w:rPr>
          <w:rFonts w:ascii="Tahoma" w:hAnsi="Tahoma" w:cs="Tahoma"/>
          <w:sz w:val="20"/>
          <w:szCs w:val="20"/>
        </w:rPr>
        <w:t>u objavu njihova cijena umanjivala</w:t>
      </w:r>
      <w:r w:rsidRPr="004253C9">
        <w:rPr>
          <w:rFonts w:ascii="Tahoma" w:hAnsi="Tahoma" w:cs="Tahoma"/>
          <w:sz w:val="20"/>
          <w:szCs w:val="20"/>
        </w:rPr>
        <w:t xml:space="preserve"> za 10% sukladno oduci skupštine vjerovnika od 19.01.2017.g </w:t>
      </w:r>
      <w:r w:rsidR="00A741F0">
        <w:rPr>
          <w:rFonts w:ascii="Tahoma" w:hAnsi="Tahoma" w:cs="Tahoma"/>
          <w:sz w:val="20"/>
          <w:szCs w:val="20"/>
        </w:rPr>
        <w:t xml:space="preserve">Do dana pisanja ovog izvješća </w:t>
      </w:r>
      <w:r w:rsidR="00B46E3D">
        <w:rPr>
          <w:rFonts w:ascii="Tahoma" w:hAnsi="Tahoma" w:cs="Tahoma"/>
          <w:sz w:val="20"/>
          <w:szCs w:val="20"/>
        </w:rPr>
        <w:t>prodane su sve pokretnine stečajnog dužnika.</w:t>
      </w:r>
    </w:p>
    <w:p w:rsidR="007E0F8D" w:rsidRDefault="007E0F8D">
      <w:pPr>
        <w:pStyle w:val="TijeloA"/>
        <w:spacing w:after="0" w:line="288" w:lineRule="auto"/>
        <w:jc w:val="both"/>
        <w:rPr>
          <w:rFonts w:ascii="Tahoma" w:hAnsi="Tahoma" w:cs="Tahoma"/>
          <w:sz w:val="20"/>
          <w:szCs w:val="20"/>
        </w:rPr>
      </w:pPr>
    </w:p>
    <w:p w:rsidR="00C45E15" w:rsidRDefault="00214E10">
      <w:pPr>
        <w:pStyle w:val="TijeloA"/>
        <w:spacing w:after="0" w:line="288" w:lineRule="auto"/>
        <w:jc w:val="both"/>
        <w:rPr>
          <w:rFonts w:ascii="Tahoma" w:eastAsia="Tahoma" w:hAnsi="Tahoma" w:cs="Tahoma"/>
          <w:b/>
          <w:bCs/>
          <w:sz w:val="20"/>
          <w:szCs w:val="20"/>
        </w:rPr>
      </w:pPr>
      <w:r>
        <w:rPr>
          <w:rFonts w:ascii="Tahoma" w:hAnsi="Tahoma"/>
          <w:b/>
          <w:bCs/>
          <w:sz w:val="20"/>
          <w:szCs w:val="20"/>
          <w:u w:val="single"/>
        </w:rPr>
        <w:t>Nekretnina</w:t>
      </w:r>
      <w:r>
        <w:rPr>
          <w:rFonts w:ascii="Tahoma" w:hAnsi="Tahoma"/>
          <w:b/>
          <w:bCs/>
          <w:sz w:val="20"/>
          <w:szCs w:val="20"/>
        </w:rPr>
        <w:t xml:space="preserve"> </w:t>
      </w: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Nekretnina u vlasništvu stečajnog dužnika upisana je u zk.ul.br. 493, z.k.odjel Ludbreg, u naravi se sastoji od stambene zgrade i zemljišta u Ludbregu, ulica </w:t>
      </w:r>
      <w:proofErr w:type="spellStart"/>
      <w:r>
        <w:rPr>
          <w:rFonts w:ascii="Tahoma" w:hAnsi="Tahoma"/>
          <w:sz w:val="20"/>
          <w:szCs w:val="20"/>
        </w:rPr>
        <w:t>Brać</w:t>
      </w:r>
      <w:proofErr w:type="spellEnd"/>
      <w:r>
        <w:rPr>
          <w:rFonts w:ascii="Tahoma" w:hAnsi="Tahoma"/>
          <w:sz w:val="20"/>
          <w:szCs w:val="20"/>
          <w:lang w:val="de-DE"/>
        </w:rPr>
        <w:t>e Radi</w:t>
      </w:r>
      <w:proofErr w:type="spellStart"/>
      <w:r>
        <w:rPr>
          <w:rFonts w:ascii="Tahoma" w:hAnsi="Tahoma"/>
          <w:sz w:val="20"/>
          <w:szCs w:val="20"/>
        </w:rPr>
        <w:t>ća</w:t>
      </w:r>
      <w:proofErr w:type="spellEnd"/>
      <w:r>
        <w:rPr>
          <w:rFonts w:ascii="Tahoma" w:hAnsi="Tahoma"/>
          <w:sz w:val="20"/>
          <w:szCs w:val="20"/>
        </w:rPr>
        <w:t xml:space="preserve"> 3.  Predmetna je nekretnina procijenjena po sudskom vještaku </w:t>
      </w:r>
      <w:proofErr w:type="spellStart"/>
      <w:r>
        <w:rPr>
          <w:rFonts w:ascii="Tahoma" w:hAnsi="Tahoma"/>
          <w:sz w:val="20"/>
          <w:szCs w:val="20"/>
        </w:rPr>
        <w:t>Matotek</w:t>
      </w:r>
      <w:proofErr w:type="spellEnd"/>
      <w:r>
        <w:rPr>
          <w:rFonts w:ascii="Tahoma" w:hAnsi="Tahoma"/>
          <w:sz w:val="20"/>
          <w:szCs w:val="20"/>
        </w:rPr>
        <w:t xml:space="preserve"> Dragutinu dana 23.10.2015.g. na iznos od 49.300,00 EUR, odnosno kunske protuvrijednosti na dan 17.01.2017. godine u iznosu od </w:t>
      </w:r>
      <w:r>
        <w:rPr>
          <w:rFonts w:ascii="Tahoma" w:hAnsi="Tahoma"/>
          <w:b/>
          <w:bCs/>
          <w:sz w:val="20"/>
          <w:szCs w:val="20"/>
        </w:rPr>
        <w:t>371.299,15 kn</w:t>
      </w:r>
      <w:r>
        <w:rPr>
          <w:rFonts w:ascii="Tahoma" w:hAnsi="Tahoma"/>
          <w:sz w:val="20"/>
          <w:szCs w:val="20"/>
        </w:rPr>
        <w:t xml:space="preserve">, na kojoj je nekretnini upisano </w:t>
      </w:r>
      <w:proofErr w:type="spellStart"/>
      <w:r>
        <w:rPr>
          <w:rFonts w:ascii="Tahoma" w:hAnsi="Tahoma"/>
          <w:sz w:val="20"/>
          <w:szCs w:val="20"/>
        </w:rPr>
        <w:t>razlučno</w:t>
      </w:r>
      <w:proofErr w:type="spellEnd"/>
      <w:r>
        <w:rPr>
          <w:rFonts w:ascii="Tahoma" w:hAnsi="Tahoma"/>
          <w:sz w:val="20"/>
          <w:szCs w:val="20"/>
        </w:rPr>
        <w:t xml:space="preserve"> pravo u korist vjerovnika HYPO ALPE-ADRIA-BANK d.d., Slavonska 6, 10000 Zagreb i RH, MINISTARSTVO FINANCIJA, Porezna uprava, Područni ured sjeverna Hrvatska time da je upis </w:t>
      </w:r>
      <w:proofErr w:type="spellStart"/>
      <w:r>
        <w:rPr>
          <w:rFonts w:ascii="Tahoma" w:hAnsi="Tahoma"/>
          <w:sz w:val="20"/>
          <w:szCs w:val="20"/>
        </w:rPr>
        <w:t>razlučnog</w:t>
      </w:r>
      <w:proofErr w:type="spellEnd"/>
      <w:r>
        <w:rPr>
          <w:rFonts w:ascii="Tahoma" w:hAnsi="Tahoma"/>
          <w:sz w:val="20"/>
          <w:szCs w:val="20"/>
        </w:rPr>
        <w:t xml:space="preserve"> vjerovnika RH, MINISTARSTVO FINANCIJA, Porezna uprava, Područni ured sjeverna Hrvatska izvršen nakon otvaranja stečajnog postupka nad dužnikom, odnosno 05.01.2016.g. </w:t>
      </w:r>
    </w:p>
    <w:p w:rsidR="00C45E15" w:rsidRDefault="00C45E15">
      <w:pPr>
        <w:pStyle w:val="TijeloA"/>
        <w:spacing w:after="0" w:line="288" w:lineRule="auto"/>
        <w:jc w:val="both"/>
        <w:rPr>
          <w:rFonts w:ascii="Tahoma" w:eastAsia="Tahoma" w:hAnsi="Tahoma" w:cs="Tahoma"/>
          <w:sz w:val="20"/>
          <w:szCs w:val="20"/>
        </w:rPr>
      </w:pPr>
    </w:p>
    <w:p w:rsidR="007D58E9" w:rsidRDefault="00B2532F">
      <w:pPr>
        <w:pStyle w:val="TijeloA"/>
        <w:spacing w:after="0" w:line="288" w:lineRule="auto"/>
        <w:jc w:val="both"/>
        <w:rPr>
          <w:rFonts w:ascii="Tahoma" w:hAnsi="Tahoma"/>
          <w:sz w:val="20"/>
          <w:szCs w:val="20"/>
        </w:rPr>
      </w:pPr>
      <w:r>
        <w:rPr>
          <w:rFonts w:ascii="Tahoma" w:hAnsi="Tahoma"/>
          <w:sz w:val="20"/>
          <w:szCs w:val="20"/>
        </w:rPr>
        <w:t xml:space="preserve">Zaključkom o prodaji određena je četvrta javna dražba za dan 13.06.2018.g. na kojoj će se nekretnina prodavati za iznos od 300.753,00 kn. </w:t>
      </w:r>
      <w:r w:rsidR="007D58E9">
        <w:rPr>
          <w:rFonts w:ascii="Tahoma" w:hAnsi="Tahoma"/>
          <w:sz w:val="20"/>
          <w:szCs w:val="20"/>
        </w:rPr>
        <w:t>Stečajna upraviteljica objavila je oglas o prodaji na web stranici HGK i VTS-a.</w:t>
      </w:r>
    </w:p>
    <w:p w:rsidR="007D58E9" w:rsidRDefault="007D58E9">
      <w:pPr>
        <w:pStyle w:val="TijeloA"/>
        <w:spacing w:after="0" w:line="288" w:lineRule="auto"/>
        <w:jc w:val="both"/>
        <w:rPr>
          <w:rFonts w:ascii="Tahoma" w:hAnsi="Tahoma"/>
          <w:sz w:val="20"/>
          <w:szCs w:val="20"/>
        </w:rPr>
      </w:pPr>
      <w:r w:rsidRPr="007D58E9">
        <w:rPr>
          <w:rFonts w:ascii="Tahoma" w:hAnsi="Tahoma"/>
          <w:b/>
          <w:sz w:val="20"/>
          <w:szCs w:val="20"/>
        </w:rPr>
        <w:t>Prilog</w:t>
      </w:r>
      <w:r>
        <w:rPr>
          <w:rFonts w:ascii="Tahoma" w:hAnsi="Tahoma"/>
          <w:sz w:val="20"/>
          <w:szCs w:val="20"/>
        </w:rPr>
        <w:t>: objava sa stranice sudačka mreža</w:t>
      </w:r>
    </w:p>
    <w:p w:rsidR="007D58E9" w:rsidRDefault="007D58E9">
      <w:pPr>
        <w:pStyle w:val="TijeloA"/>
        <w:spacing w:after="0" w:line="288" w:lineRule="auto"/>
        <w:jc w:val="both"/>
        <w:rPr>
          <w:rFonts w:ascii="Tahoma" w:hAnsi="Tahoma"/>
          <w:sz w:val="20"/>
          <w:szCs w:val="20"/>
        </w:rPr>
      </w:pPr>
    </w:p>
    <w:p w:rsidR="00C45E15" w:rsidRDefault="00214E10">
      <w:pPr>
        <w:pStyle w:val="TijeloA"/>
        <w:spacing w:after="0" w:line="288" w:lineRule="auto"/>
        <w:jc w:val="both"/>
        <w:rPr>
          <w:rFonts w:ascii="Tahoma" w:eastAsia="Tahoma" w:hAnsi="Tahoma" w:cs="Tahoma"/>
          <w:b/>
          <w:bCs/>
          <w:sz w:val="20"/>
          <w:szCs w:val="20"/>
        </w:rPr>
      </w:pPr>
      <w:r>
        <w:rPr>
          <w:rFonts w:ascii="Tahoma" w:hAnsi="Tahoma"/>
          <w:b/>
          <w:bCs/>
          <w:sz w:val="20"/>
          <w:szCs w:val="20"/>
          <w:u w:val="single"/>
        </w:rPr>
        <w:t xml:space="preserve">Potraživanja </w:t>
      </w:r>
    </w:p>
    <w:p w:rsidR="00C45E15" w:rsidRDefault="00214E10">
      <w:pPr>
        <w:pStyle w:val="TijeloA"/>
        <w:spacing w:after="0" w:line="288" w:lineRule="auto"/>
        <w:jc w:val="both"/>
        <w:rPr>
          <w:rFonts w:ascii="Tahoma" w:hAnsi="Tahoma"/>
          <w:sz w:val="20"/>
          <w:szCs w:val="20"/>
        </w:rPr>
      </w:pPr>
      <w:r>
        <w:rPr>
          <w:rFonts w:ascii="Tahoma" w:hAnsi="Tahoma"/>
          <w:sz w:val="20"/>
          <w:szCs w:val="20"/>
        </w:rPr>
        <w:t xml:space="preserve">Potraživanja su iskazana temeljem moguće procjene na dan otvaranja stečajnog postupka u iznosu od </w:t>
      </w:r>
      <w:r>
        <w:rPr>
          <w:rFonts w:ascii="Tahoma" w:hAnsi="Tahoma"/>
          <w:b/>
          <w:bCs/>
          <w:sz w:val="20"/>
          <w:szCs w:val="20"/>
        </w:rPr>
        <w:t xml:space="preserve">700.000,00 kn. </w:t>
      </w:r>
      <w:r>
        <w:rPr>
          <w:rFonts w:ascii="Tahoma" w:hAnsi="Tahoma"/>
          <w:sz w:val="20"/>
          <w:szCs w:val="20"/>
        </w:rPr>
        <w:t xml:space="preserve">U odnosu na otvorena potraživanja prije otvaranja stečajnog postupka stečajnoj upraviteljici je predana dokumentaciji od odvjetnika Vukelić Zorana i </w:t>
      </w:r>
      <w:proofErr w:type="spellStart"/>
      <w:r>
        <w:rPr>
          <w:rFonts w:ascii="Tahoma" w:hAnsi="Tahoma"/>
          <w:sz w:val="20"/>
          <w:szCs w:val="20"/>
        </w:rPr>
        <w:t>Keretić</w:t>
      </w:r>
      <w:proofErr w:type="spellEnd"/>
      <w:r>
        <w:rPr>
          <w:rFonts w:ascii="Tahoma" w:hAnsi="Tahoma"/>
          <w:sz w:val="20"/>
          <w:szCs w:val="20"/>
        </w:rPr>
        <w:t xml:space="preserve"> Renata. Iz predane dokumentacije su izvršene radnje pribavljanja klauzule pravomoćnosti i ovršnosti na rješenja o ovrsi te su na FINU predani zahtjevi za izravnu naplatu.</w:t>
      </w:r>
    </w:p>
    <w:p w:rsidR="004253C9" w:rsidRDefault="004253C9">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hAnsi="Tahoma"/>
          <w:sz w:val="20"/>
          <w:szCs w:val="20"/>
        </w:rPr>
        <w:t xml:space="preserve">Također je preuzet parnični postupak protiv udruge umirovljenika Međimurske županije koji se vodi radi glavničnog iznosa od 29.000,00 kn. U tome je predmetu sud donio presudu kojom se djelomično održava na snazi platni nalog  te je </w:t>
      </w:r>
      <w:proofErr w:type="spellStart"/>
      <w:r>
        <w:rPr>
          <w:rFonts w:ascii="Tahoma" w:hAnsi="Tahoma"/>
          <w:sz w:val="20"/>
          <w:szCs w:val="20"/>
        </w:rPr>
        <w:t>nalož</w:t>
      </w:r>
      <w:r>
        <w:rPr>
          <w:rFonts w:ascii="Tahoma" w:hAnsi="Tahoma"/>
          <w:sz w:val="20"/>
          <w:szCs w:val="20"/>
          <w:lang w:val="it-IT"/>
        </w:rPr>
        <w:t>eno</w:t>
      </w:r>
      <w:proofErr w:type="spellEnd"/>
      <w:r>
        <w:rPr>
          <w:rFonts w:ascii="Tahoma" w:hAnsi="Tahoma"/>
          <w:sz w:val="20"/>
          <w:szCs w:val="20"/>
          <w:lang w:val="it-IT"/>
        </w:rPr>
        <w:t xml:space="preserve"> tu</w:t>
      </w:r>
      <w:r>
        <w:rPr>
          <w:rFonts w:ascii="Tahoma" w:hAnsi="Tahoma"/>
          <w:sz w:val="20"/>
          <w:szCs w:val="20"/>
        </w:rPr>
        <w:t>ženiku platiti stečajnom dužniku iznos od 29.000,00 kn zajedno sa kamatama i troškovima. Na presudu je uložena žalba od strane tuženika, a stečajni dužnik dao je i odgovor na ž</w:t>
      </w:r>
      <w:r>
        <w:rPr>
          <w:rFonts w:ascii="Tahoma" w:hAnsi="Tahoma"/>
          <w:sz w:val="20"/>
          <w:szCs w:val="20"/>
          <w:lang w:val="pt-PT"/>
        </w:rPr>
        <w:t xml:space="preserve">albu. O </w:t>
      </w:r>
      <w:r>
        <w:rPr>
          <w:rFonts w:ascii="Tahoma" w:hAnsi="Tahoma"/>
          <w:sz w:val="20"/>
          <w:szCs w:val="20"/>
        </w:rPr>
        <w:t xml:space="preserve">žalbi nije donijeta odluka do dana pisanja ovog </w:t>
      </w:r>
      <w:proofErr w:type="spellStart"/>
      <w:r>
        <w:rPr>
          <w:rFonts w:ascii="Tahoma" w:hAnsi="Tahoma"/>
          <w:sz w:val="20"/>
          <w:szCs w:val="20"/>
        </w:rPr>
        <w:t>izvješć</w:t>
      </w:r>
      <w:proofErr w:type="spellEnd"/>
      <w:r>
        <w:rPr>
          <w:rFonts w:ascii="Tahoma" w:hAnsi="Tahoma"/>
          <w:sz w:val="20"/>
          <w:szCs w:val="20"/>
          <w:lang w:val="it-IT"/>
        </w:rPr>
        <w:t>a.</w:t>
      </w:r>
    </w:p>
    <w:p w:rsidR="00C45E15" w:rsidRDefault="00C45E15">
      <w:pPr>
        <w:pStyle w:val="TijeloA"/>
        <w:spacing w:after="0" w:line="276" w:lineRule="auto"/>
        <w:rPr>
          <w:rFonts w:ascii="Tahoma" w:eastAsia="Tahoma" w:hAnsi="Tahoma" w:cs="Tahoma"/>
          <w:b/>
          <w:bCs/>
          <w:sz w:val="20"/>
          <w:szCs w:val="20"/>
          <w:u w:val="single"/>
        </w:rPr>
      </w:pPr>
    </w:p>
    <w:p w:rsidR="00FD6A32" w:rsidRPr="00FD6A32" w:rsidRDefault="00214E10">
      <w:pPr>
        <w:pStyle w:val="TijeloA"/>
        <w:spacing w:after="0" w:line="288" w:lineRule="auto"/>
        <w:jc w:val="both"/>
        <w:rPr>
          <w:rFonts w:ascii="Tahoma" w:hAnsi="Tahoma"/>
          <w:b/>
          <w:sz w:val="20"/>
          <w:szCs w:val="20"/>
        </w:rPr>
      </w:pPr>
      <w:r>
        <w:rPr>
          <w:rFonts w:ascii="Tahoma" w:hAnsi="Tahoma"/>
          <w:sz w:val="20"/>
          <w:szCs w:val="20"/>
        </w:rPr>
        <w:t xml:space="preserve">Na računu stečajnog dužnika na dan </w:t>
      </w:r>
      <w:r w:rsidR="00EE3815">
        <w:rPr>
          <w:rFonts w:ascii="Tahoma" w:hAnsi="Tahoma"/>
          <w:sz w:val="20"/>
          <w:szCs w:val="20"/>
        </w:rPr>
        <w:t>21</w:t>
      </w:r>
      <w:r w:rsidR="00C703F5">
        <w:rPr>
          <w:rFonts w:ascii="Tahoma" w:hAnsi="Tahoma"/>
          <w:sz w:val="20"/>
          <w:szCs w:val="20"/>
        </w:rPr>
        <w:t>.0</w:t>
      </w:r>
      <w:r w:rsidR="00EE3815">
        <w:rPr>
          <w:rFonts w:ascii="Tahoma" w:hAnsi="Tahoma"/>
          <w:sz w:val="20"/>
          <w:szCs w:val="20"/>
        </w:rPr>
        <w:t>5</w:t>
      </w:r>
      <w:r w:rsidR="00FD6A32">
        <w:rPr>
          <w:rFonts w:ascii="Tahoma" w:hAnsi="Tahoma"/>
          <w:sz w:val="20"/>
          <w:szCs w:val="20"/>
        </w:rPr>
        <w:t>.201</w:t>
      </w:r>
      <w:r w:rsidR="00C703F5">
        <w:rPr>
          <w:rFonts w:ascii="Tahoma" w:hAnsi="Tahoma"/>
          <w:sz w:val="20"/>
          <w:szCs w:val="20"/>
        </w:rPr>
        <w:t>8</w:t>
      </w:r>
      <w:r>
        <w:rPr>
          <w:rFonts w:ascii="Tahoma" w:hAnsi="Tahoma"/>
          <w:sz w:val="20"/>
          <w:szCs w:val="20"/>
        </w:rPr>
        <w:t xml:space="preserve">. godine nalaze se novčana sredstva u iznosu od </w:t>
      </w:r>
      <w:r w:rsidR="00680DAA">
        <w:rPr>
          <w:rFonts w:ascii="Tahoma" w:hAnsi="Tahoma"/>
          <w:b/>
          <w:sz w:val="20"/>
          <w:szCs w:val="20"/>
        </w:rPr>
        <w:t>49</w:t>
      </w:r>
      <w:r w:rsidR="00FD6A32" w:rsidRPr="00FD6A32">
        <w:rPr>
          <w:rFonts w:ascii="Tahoma" w:hAnsi="Tahoma"/>
          <w:b/>
          <w:sz w:val="20"/>
          <w:szCs w:val="20"/>
        </w:rPr>
        <w:t>.</w:t>
      </w:r>
      <w:r w:rsidR="00EE3815">
        <w:rPr>
          <w:rFonts w:ascii="Tahoma" w:hAnsi="Tahoma"/>
          <w:b/>
          <w:sz w:val="20"/>
          <w:szCs w:val="20"/>
        </w:rPr>
        <w:t>926</w:t>
      </w:r>
      <w:r w:rsidR="00FD6A32" w:rsidRPr="00FD6A32">
        <w:rPr>
          <w:rFonts w:ascii="Tahoma" w:hAnsi="Tahoma"/>
          <w:b/>
          <w:sz w:val="20"/>
          <w:szCs w:val="20"/>
        </w:rPr>
        <w:t>,</w:t>
      </w:r>
      <w:r w:rsidR="00EE3815">
        <w:rPr>
          <w:rFonts w:ascii="Tahoma" w:hAnsi="Tahoma"/>
          <w:b/>
          <w:sz w:val="20"/>
          <w:szCs w:val="20"/>
        </w:rPr>
        <w:t>64</w:t>
      </w:r>
      <w:r w:rsidR="00FD6A32" w:rsidRPr="00FD6A32">
        <w:rPr>
          <w:rFonts w:ascii="Tahoma" w:hAnsi="Tahoma"/>
          <w:b/>
          <w:sz w:val="20"/>
          <w:szCs w:val="20"/>
        </w:rPr>
        <w:t xml:space="preserve"> kn.</w:t>
      </w:r>
    </w:p>
    <w:p w:rsidR="00C45E15" w:rsidRDefault="00C45E15">
      <w:pPr>
        <w:pStyle w:val="TijeloA"/>
        <w:spacing w:after="0" w:line="276" w:lineRule="auto"/>
        <w:rPr>
          <w:rFonts w:ascii="Tahoma" w:eastAsia="Tahoma" w:hAnsi="Tahoma" w:cs="Tahoma"/>
          <w:b/>
          <w:bCs/>
          <w:sz w:val="20"/>
          <w:szCs w:val="20"/>
          <w:u w:val="single"/>
        </w:rPr>
      </w:pPr>
    </w:p>
    <w:p w:rsidR="004253C9" w:rsidRDefault="004253C9">
      <w:pPr>
        <w:pStyle w:val="TijeloA"/>
        <w:spacing w:after="0" w:line="276" w:lineRule="auto"/>
        <w:rPr>
          <w:rFonts w:ascii="Tahoma" w:eastAsia="Tahoma" w:hAnsi="Tahoma" w:cs="Tahoma"/>
          <w:b/>
          <w:bCs/>
          <w:sz w:val="20"/>
          <w:szCs w:val="20"/>
          <w:u w:val="single"/>
        </w:rPr>
      </w:pPr>
    </w:p>
    <w:p w:rsidR="00EE3815" w:rsidRDefault="00EE3815">
      <w:pPr>
        <w:pStyle w:val="TijeloA"/>
        <w:spacing w:after="0" w:line="276" w:lineRule="auto"/>
        <w:rPr>
          <w:rFonts w:ascii="Tahoma" w:eastAsia="Tahoma" w:hAnsi="Tahoma" w:cs="Tahoma"/>
          <w:b/>
          <w:bCs/>
          <w:sz w:val="20"/>
          <w:szCs w:val="20"/>
          <w:u w:val="single"/>
        </w:rPr>
      </w:pPr>
    </w:p>
    <w:p w:rsidR="00EE3815" w:rsidRDefault="00EE3815">
      <w:pPr>
        <w:pStyle w:val="TijeloA"/>
        <w:spacing w:after="0" w:line="276" w:lineRule="auto"/>
        <w:rPr>
          <w:rFonts w:ascii="Tahoma" w:eastAsia="Tahoma" w:hAnsi="Tahoma" w:cs="Tahoma"/>
          <w:b/>
          <w:bCs/>
          <w:sz w:val="20"/>
          <w:szCs w:val="20"/>
          <w:u w:val="single"/>
        </w:rPr>
      </w:pPr>
    </w:p>
    <w:p w:rsidR="00C45E15" w:rsidRDefault="00214E10">
      <w:pPr>
        <w:pStyle w:val="TijeloA"/>
        <w:spacing w:after="0" w:line="276" w:lineRule="auto"/>
        <w:rPr>
          <w:rFonts w:ascii="Tahoma" w:eastAsia="Tahoma" w:hAnsi="Tahoma" w:cs="Tahoma"/>
          <w:b/>
          <w:bCs/>
          <w:sz w:val="20"/>
          <w:szCs w:val="20"/>
          <w:u w:val="single"/>
        </w:rPr>
      </w:pPr>
      <w:r>
        <w:rPr>
          <w:rFonts w:ascii="Tahoma" w:hAnsi="Tahoma"/>
          <w:b/>
          <w:bCs/>
          <w:sz w:val="20"/>
          <w:szCs w:val="20"/>
          <w:u w:val="single"/>
        </w:rPr>
        <w:t>III.  Prijedlozi stečajnog upravitelja</w:t>
      </w:r>
    </w:p>
    <w:p w:rsidR="00C45E15" w:rsidRDefault="00C45E15">
      <w:pPr>
        <w:pStyle w:val="Standard"/>
        <w:spacing w:after="0" w:line="288" w:lineRule="auto"/>
        <w:jc w:val="both"/>
        <w:rPr>
          <w:rFonts w:ascii="Tahoma" w:eastAsia="Tahoma" w:hAnsi="Tahoma" w:cs="Tahoma"/>
          <w:sz w:val="20"/>
          <w:szCs w:val="20"/>
        </w:rPr>
      </w:pPr>
    </w:p>
    <w:p w:rsidR="00C703F5" w:rsidRDefault="00C703F5">
      <w:pPr>
        <w:pStyle w:val="Standard"/>
        <w:spacing w:after="0" w:line="288" w:lineRule="auto"/>
        <w:jc w:val="both"/>
        <w:rPr>
          <w:rFonts w:ascii="Tahoma" w:hAnsi="Tahoma"/>
          <w:sz w:val="20"/>
          <w:szCs w:val="20"/>
        </w:rPr>
      </w:pPr>
      <w:r>
        <w:rPr>
          <w:rFonts w:ascii="Tahoma" w:hAnsi="Tahoma"/>
          <w:sz w:val="20"/>
          <w:szCs w:val="20"/>
        </w:rPr>
        <w:t>U daljnjem tijeku stečajnog postupka, stečajni upravitelj će nastaviti unovčavati stečajnu masu – nekretninu sukladno odluci skupštine vjerovnika.</w:t>
      </w:r>
    </w:p>
    <w:p w:rsidR="00C45E15" w:rsidRDefault="00C45E15">
      <w:pPr>
        <w:pStyle w:val="TijeloA"/>
        <w:spacing w:after="0" w:line="288" w:lineRule="auto"/>
        <w:jc w:val="both"/>
        <w:rPr>
          <w:rFonts w:ascii="Tahoma" w:eastAsia="Tahoma" w:hAnsi="Tahoma" w:cs="Tahoma"/>
          <w:sz w:val="20"/>
          <w:szCs w:val="20"/>
        </w:rPr>
      </w:pPr>
    </w:p>
    <w:p w:rsidR="00EE3815" w:rsidRDefault="00EE3815">
      <w:pPr>
        <w:pStyle w:val="TijeloA"/>
        <w:spacing w:after="0" w:line="288" w:lineRule="auto"/>
        <w:jc w:val="both"/>
        <w:rPr>
          <w:rFonts w:ascii="Tahoma" w:eastAsia="Tahoma" w:hAnsi="Tahoma" w:cs="Tahoma"/>
          <w:sz w:val="20"/>
          <w:szCs w:val="20"/>
        </w:rPr>
      </w:pPr>
    </w:p>
    <w:p w:rsidR="00EE3815" w:rsidRDefault="00EE3815">
      <w:pPr>
        <w:pStyle w:val="TijeloA"/>
        <w:spacing w:after="0" w:line="288" w:lineRule="auto"/>
        <w:jc w:val="both"/>
        <w:rPr>
          <w:rFonts w:ascii="Tahoma" w:eastAsia="Tahoma" w:hAnsi="Tahoma" w:cs="Tahoma"/>
          <w:sz w:val="20"/>
          <w:szCs w:val="20"/>
        </w:rPr>
      </w:pPr>
    </w:p>
    <w:p w:rsidR="00C45E15" w:rsidRDefault="00214E10">
      <w:pPr>
        <w:pStyle w:val="TijeloA"/>
        <w:spacing w:after="0" w:line="288" w:lineRule="auto"/>
        <w:jc w:val="both"/>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Ste</w:t>
      </w:r>
      <w:r>
        <w:rPr>
          <w:rFonts w:ascii="Tahoma" w:hAnsi="Tahoma"/>
          <w:sz w:val="20"/>
          <w:szCs w:val="20"/>
        </w:rPr>
        <w:t>čajni upravitelj:</w:t>
      </w:r>
    </w:p>
    <w:p w:rsidR="00C45E15" w:rsidRDefault="00214E10">
      <w:pPr>
        <w:pStyle w:val="TijeloA"/>
        <w:spacing w:after="0" w:line="288" w:lineRule="auto"/>
        <w:ind w:left="5664" w:firstLine="708"/>
        <w:jc w:val="both"/>
      </w:pPr>
      <w:r>
        <w:rPr>
          <w:rFonts w:ascii="Tahoma" w:hAnsi="Tahoma"/>
          <w:sz w:val="20"/>
          <w:szCs w:val="20"/>
        </w:rPr>
        <w:t>mr. Jelena Stankus-</w:t>
      </w:r>
      <w:proofErr w:type="spellStart"/>
      <w:r>
        <w:rPr>
          <w:rFonts w:ascii="Tahoma" w:hAnsi="Tahoma"/>
          <w:sz w:val="20"/>
          <w:szCs w:val="20"/>
        </w:rPr>
        <w:t>Tkalec</w:t>
      </w:r>
      <w:proofErr w:type="spellEnd"/>
    </w:p>
    <w:sectPr w:rsidR="00C45E15">
      <w:headerReference w:type="default" r:id="rId8"/>
      <w:footerReference w:type="default" r:id="rId9"/>
      <w:pgSz w:w="11900" w:h="16840"/>
      <w:pgMar w:top="1134" w:right="1134" w:bottom="1418" w:left="1418" w:header="709" w:footer="70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8AA" w:rsidRDefault="009348AA">
      <w:r>
        <w:separator/>
      </w:r>
    </w:p>
  </w:endnote>
  <w:endnote w:type="continuationSeparator" w:id="0">
    <w:p w:rsidR="009348AA" w:rsidRDefault="0093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swiss"/>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15" w:rsidRDefault="00214E10">
    <w:pPr>
      <w:pStyle w:val="Footer"/>
      <w:pBdr>
        <w:top w:val="single" w:sz="4" w:space="0" w:color="000000"/>
      </w:pBdr>
    </w:pPr>
    <w:r>
      <w:rPr>
        <w14:shadow w14:blurRad="50800" w14:dist="38100" w14:dir="2700000" w14:sx="100000" w14:sy="100000" w14:kx="0" w14:ky="0" w14:algn="tl">
          <w14:srgbClr w14:val="000000">
            <w14:alpha w14:val="60000"/>
          </w14:srgbClr>
        </w14:shadow>
      </w:rPr>
      <w:fldChar w:fldCharType="begin"/>
    </w:r>
    <w:r>
      <w:rPr>
        <w14:shadow w14:blurRad="50800" w14:dist="38100" w14:dir="2700000" w14:sx="100000" w14:sy="100000" w14:kx="0" w14:ky="0" w14:algn="tl">
          <w14:srgbClr w14:val="000000">
            <w14:alpha w14:val="60000"/>
          </w14:srgbClr>
        </w14:shadow>
      </w:rPr>
      <w:instrText xml:space="preserve"> PAGE </w:instrText>
    </w:r>
    <w:r>
      <w:rPr>
        <w14:shadow w14:blurRad="50800" w14:dist="38100" w14:dir="2700000" w14:sx="100000" w14:sy="100000" w14:kx="0" w14:ky="0" w14:algn="tl">
          <w14:srgbClr w14:val="000000">
            <w14:alpha w14:val="60000"/>
          </w14:srgbClr>
        </w14:shadow>
      </w:rPr>
      <w:fldChar w:fldCharType="separate"/>
    </w:r>
    <w:r w:rsidR="00436523">
      <w:rPr>
        <w:noProof/>
        <w14:shadow w14:blurRad="50800" w14:dist="38100" w14:dir="2700000" w14:sx="100000" w14:sy="100000" w14:kx="0" w14:ky="0" w14:algn="tl">
          <w14:srgbClr w14:val="000000">
            <w14:alpha w14:val="60000"/>
          </w14:srgbClr>
        </w14:shadow>
      </w:rPr>
      <w:t>1</w:t>
    </w:r>
    <w:r>
      <w:rPr>
        <w14:shadow w14:blurRad="50800" w14:dist="38100" w14:dir="2700000" w14:sx="100000" w14:sy="100000" w14:kx="0" w14:ky="0" w14:algn="tl">
          <w14:srgbClr w14:val="000000">
            <w14:alpha w14:val="60000"/>
          </w14:srgbClr>
        </w14:shadow>
      </w:rPr>
      <w:fldChar w:fldCharType="end"/>
    </w:r>
    <w:r>
      <w:rPr>
        <w14:shadow w14:blurRad="50800" w14:dist="38100" w14:dir="2700000" w14:sx="100000" w14:sy="100000" w14:kx="0" w14:ky="0" w14:algn="tl">
          <w14:srgbClr w14:val="000000">
            <w14:alpha w14:val="60000"/>
          </w14:srgbClr>
        </w14:shadow>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8AA" w:rsidRDefault="009348AA">
      <w:r>
        <w:separator/>
      </w:r>
    </w:p>
  </w:footnote>
  <w:footnote w:type="continuationSeparator" w:id="0">
    <w:p w:rsidR="009348AA" w:rsidRDefault="009348A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15" w:rsidRDefault="00214E10">
    <w:pPr>
      <w:pStyle w:val="TijeloA"/>
      <w:spacing w:after="0" w:line="288" w:lineRule="auto"/>
      <w:jc w:val="center"/>
      <w:rPr>
        <w:rFonts w:ascii="Tahoma" w:eastAsia="Tahoma" w:hAnsi="Tahoma" w:cs="Tahoma"/>
        <w:b/>
        <w:bCs/>
      </w:rPr>
    </w:pPr>
    <w:r>
      <w:rPr>
        <w:rFonts w:ascii="Tahoma" w:hAnsi="Tahoma"/>
        <w:b/>
        <w:bCs/>
      </w:rPr>
      <w:t xml:space="preserve">Stečajni postupak nad imovinom dužnika Tihomir </w:t>
    </w:r>
    <w:proofErr w:type="spellStart"/>
    <w:r>
      <w:rPr>
        <w:rFonts w:ascii="Tahoma" w:hAnsi="Tahoma"/>
        <w:b/>
        <w:bCs/>
      </w:rPr>
      <w:t>Kokolek</w:t>
    </w:r>
    <w:proofErr w:type="spellEnd"/>
  </w:p>
  <w:p w:rsidR="00C45E15" w:rsidRDefault="00214E10">
    <w:pPr>
      <w:pStyle w:val="TijeloA"/>
      <w:spacing w:after="0" w:line="288" w:lineRule="auto"/>
      <w:jc w:val="center"/>
      <w:rPr>
        <w:rFonts w:ascii="Tahoma" w:eastAsia="Tahoma" w:hAnsi="Tahoma" w:cs="Tahoma"/>
        <w:b/>
        <w:bCs/>
      </w:rPr>
    </w:pPr>
    <w:r>
      <w:rPr>
        <w:rFonts w:ascii="Tahoma" w:hAnsi="Tahoma"/>
        <w:b/>
        <w:bCs/>
      </w:rPr>
      <w:t>vlasnikom Putničke agencije EXPRESS-TOURS</w:t>
    </w:r>
  </w:p>
  <w:p w:rsidR="00C45E15" w:rsidRDefault="00214E10">
    <w:pPr>
      <w:pStyle w:val="TijeloA"/>
      <w:spacing w:after="0" w:line="288" w:lineRule="auto"/>
      <w:jc w:val="center"/>
      <w:rPr>
        <w:rFonts w:ascii="Tahoma" w:eastAsia="Tahoma" w:hAnsi="Tahoma" w:cs="Tahoma"/>
        <w:sz w:val="20"/>
        <w:szCs w:val="20"/>
      </w:rPr>
    </w:pPr>
    <w:r>
      <w:rPr>
        <w:rFonts w:ascii="Tahoma" w:hAnsi="Tahoma"/>
        <w:sz w:val="20"/>
        <w:szCs w:val="20"/>
      </w:rPr>
      <w:t>Zagrebačka 87, Čakovec, OIB: 92415294899, St – 105/15</w:t>
    </w:r>
  </w:p>
  <w:p w:rsidR="00C45E15" w:rsidRDefault="00214E10">
    <w:pPr>
      <w:pStyle w:val="TijeloA"/>
      <w:pBdr>
        <w:bottom w:val="single" w:sz="4" w:space="0" w:color="000000"/>
      </w:pBdr>
      <w:spacing w:after="0" w:line="288" w:lineRule="auto"/>
      <w:jc w:val="center"/>
    </w:pPr>
    <w:r>
      <w:rPr>
        <w:rFonts w:ascii="Tahoma" w:hAnsi="Tahoma"/>
        <w:sz w:val="20"/>
        <w:szCs w:val="20"/>
      </w:rPr>
      <w:t>Stečajni upravitelj Jelena Stankus-</w:t>
    </w:r>
    <w:proofErr w:type="spellStart"/>
    <w:r>
      <w:rPr>
        <w:rFonts w:ascii="Tahoma" w:hAnsi="Tahoma"/>
        <w:sz w:val="20"/>
        <w:szCs w:val="20"/>
      </w:rPr>
      <w:t>Tkalec</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801B6E"/>
    <w:multiLevelType w:val="hybridMultilevel"/>
    <w:tmpl w:val="5F06E380"/>
    <w:numStyleLink w:val="Importiranistil6"/>
  </w:abstractNum>
  <w:abstractNum w:abstractNumId="1">
    <w:nsid w:val="4213206A"/>
    <w:multiLevelType w:val="hybridMultilevel"/>
    <w:tmpl w:val="94A28308"/>
    <w:styleLink w:val="Brojano"/>
    <w:lvl w:ilvl="0" w:tplc="6382DAA8">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0E4A8B4C">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6CCE7DD6">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DFF663C8">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60E4A734">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0C2AE2B4">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A8A2E620">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1674C848">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0DCA7410">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6F560A74"/>
    <w:multiLevelType w:val="hybridMultilevel"/>
    <w:tmpl w:val="5F06E380"/>
    <w:styleLink w:val="Importiranistil6"/>
    <w:lvl w:ilvl="0" w:tplc="6B0AC4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E68F6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FC9E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32AC0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7523A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26283A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C886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13669C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D4E407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7E5F6568"/>
    <w:multiLevelType w:val="hybridMultilevel"/>
    <w:tmpl w:val="94A28308"/>
    <w:numStyleLink w:val="Brojano"/>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C45E15"/>
    <w:rsid w:val="000804F2"/>
    <w:rsid w:val="000A114C"/>
    <w:rsid w:val="000F2A36"/>
    <w:rsid w:val="00214E10"/>
    <w:rsid w:val="00255034"/>
    <w:rsid w:val="00405BDC"/>
    <w:rsid w:val="004253C9"/>
    <w:rsid w:val="00436523"/>
    <w:rsid w:val="0057177B"/>
    <w:rsid w:val="006374D1"/>
    <w:rsid w:val="00680DAA"/>
    <w:rsid w:val="006B1B2F"/>
    <w:rsid w:val="007D58E9"/>
    <w:rsid w:val="007E0F8D"/>
    <w:rsid w:val="00816261"/>
    <w:rsid w:val="008D710C"/>
    <w:rsid w:val="008E125A"/>
    <w:rsid w:val="009348AA"/>
    <w:rsid w:val="00A741F0"/>
    <w:rsid w:val="00B13DB3"/>
    <w:rsid w:val="00B2532F"/>
    <w:rsid w:val="00B46E3D"/>
    <w:rsid w:val="00C45E15"/>
    <w:rsid w:val="00C703F5"/>
    <w:rsid w:val="00E41B9A"/>
    <w:rsid w:val="00EE3815"/>
    <w:rsid w:val="00FD6A32"/>
  </w:rsids>
  <m:mathPr>
    <m:mathFont m:val="Cambria Math"/>
    <m:brkBin m:val="before"/>
    <m:brkBinSub m:val="--"/>
    <m:smallFrac m:val="0"/>
    <m:dispDef/>
    <m:lMargin m:val="0"/>
    <m:rMargin m:val="0"/>
    <m:defJc m:val="centerGroup"/>
    <m:wrapIndent m:val="1440"/>
    <m:intLim m:val="subSup"/>
    <m:naryLim m:val="undOvr"/>
  </m:mathPr>
  <w:themeFontLang w:val="hr-H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83AB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hr-HR" w:eastAsia="hr-H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TijeloA">
    <w:name w:val="Tijelo A"/>
    <w:pPr>
      <w:spacing w:after="80"/>
    </w:pPr>
    <w:rPr>
      <w:rFonts w:ascii="Calibri" w:eastAsia="Calibri" w:hAnsi="Calibri" w:cs="Calibri"/>
      <w:color w:val="000000"/>
      <w:sz w:val="22"/>
      <w:szCs w:val="22"/>
      <w:u w:color="000000"/>
    </w:rPr>
  </w:style>
  <w:style w:type="paragraph" w:styleId="Footer">
    <w:name w:val="footer"/>
    <w:pPr>
      <w:tabs>
        <w:tab w:val="center" w:pos="4536"/>
        <w:tab w:val="right" w:pos="9072"/>
      </w:tabs>
    </w:pPr>
    <w:rPr>
      <w:rFonts w:ascii="Calibri" w:eastAsia="Calibri" w:hAnsi="Calibri" w:cs="Calibri"/>
      <w:color w:val="000000"/>
      <w:sz w:val="22"/>
      <w:szCs w:val="22"/>
      <w:u w:color="000000"/>
    </w:rPr>
  </w:style>
  <w:style w:type="paragraph" w:styleId="ListParagraph">
    <w:name w:val="List Paragraph"/>
    <w:pPr>
      <w:widowControl w:val="0"/>
      <w:suppressAutoHyphens/>
      <w:spacing w:after="200" w:line="276" w:lineRule="auto"/>
      <w:ind w:left="720"/>
    </w:pPr>
    <w:rPr>
      <w:rFonts w:eastAsia="Times New Roman"/>
      <w:color w:val="000000"/>
      <w:kern w:val="3"/>
      <w:sz w:val="24"/>
      <w:szCs w:val="24"/>
      <w:u w:color="000000"/>
    </w:rPr>
  </w:style>
  <w:style w:type="paragraph" w:customStyle="1" w:styleId="Standard">
    <w:name w:val="Standard"/>
    <w:pPr>
      <w:widowControl w:val="0"/>
      <w:suppressAutoHyphens/>
      <w:spacing w:after="80"/>
    </w:pPr>
    <w:rPr>
      <w:rFonts w:eastAsia="Times New Roman"/>
      <w:color w:val="000000"/>
      <w:kern w:val="3"/>
      <w:sz w:val="24"/>
      <w:szCs w:val="24"/>
      <w:u w:color="000000"/>
    </w:rPr>
  </w:style>
  <w:style w:type="numbering" w:customStyle="1" w:styleId="Importiranistil6">
    <w:name w:val="Importirani stil 6"/>
    <w:pPr>
      <w:numPr>
        <w:numId w:val="1"/>
      </w:numPr>
    </w:pPr>
  </w:style>
  <w:style w:type="numbering" w:customStyle="1" w:styleId="Brojano">
    <w:name w:val="Brojčan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04147BB-E62A-CA46-84E6-821A8828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724</Words>
  <Characters>4133</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Jelena Stankus</cp:lastModifiedBy>
  <cp:revision>3</cp:revision>
  <cp:lastPrinted>2018-05-21T07:11:00Z</cp:lastPrinted>
  <dcterms:created xsi:type="dcterms:W3CDTF">2018-05-21T06:59:00Z</dcterms:created>
  <dcterms:modified xsi:type="dcterms:W3CDTF">2018-05-21T07:11:00Z</dcterms:modified>
</cp:coreProperties>
</file>